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2009 290 vom 19. Februar 2010</w:t>
      </w:r>
    </w:p>
    <w:p>
      <w:r>
        <w:t>GR Gerichte, 2010-02-19, DE</w:t>
      </w:r>
    </w:p>
    <w:p>
      <w:r>
        <w:rPr>
          <w:b/>
        </w:rPr>
        <w:t xml:space="preserve">Quelle: </w:t>
      </w:r>
      <w:r>
        <w:t>https://mcp.opencaselaw.ch/entscheid/gr_gerichte_ERZ 2009 290</w:t>
      </w:r>
    </w:p>
    <w:p>
      <w:r>
        <w:t>FR: GR_GERICHTE ERZ 2009 290 du 19 février 2010</w:t>
      </w:r>
    </w:p>
    <w:p>
      <w:r>
        <w:t>IT: GR_GERICHTE ERZ 2009 290 del 19 febbraio 2010</w:t>
      </w:r>
    </w:p>
    <w:p>
      <w:pPr>
        <w:pStyle w:val="Heading2"/>
      </w:pPr>
      <w:r>
        <w:t>Regeste</w:t>
      </w:r>
    </w:p>
    <w:p>
      <w:r>
        <w:t>Eheschutz | ZGB Familienrecht</w:t>
      </w:r>
    </w:p>
    <w:p>
      <w:pPr>
        <w:pStyle w:val="Heading2"/>
      </w:pPr>
      <w:r>
        <w:t>Erwägungen</w:t>
      </w:r>
    </w:p>
    <w:p>
      <w:r>
        <w:rPr>
          <w:b/>
        </w:rPr>
        <w:t>E. 2</w:t>
      </w:r>
    </w:p>
    <w:p>
      <w:r>
        <w:t>Zwischen den Eheleuten X. und Y. wird mit Wirkung per 1. Oktober 2009 die Gütertrennung angeordnet und die Parteien werden angehalten, die güterrechtliche Auseinandersetzung vorzunehmen.</w:t>
      </w:r>
    </w:p>
    <w:p>
      <w:r>
        <w:rPr>
          <w:b/>
        </w:rPr>
        <w:t>E. 3</w:t>
      </w:r>
    </w:p>
    <w:p>
      <w:r>
        <w:t>Im Übrigen wird die Trennungsvereinbarung vom 25. November 2009 richterlich genehmigt.</w:t>
      </w:r>
    </w:p>
    <w:p>
      <w:r>
        <w:rPr>
          <w:b/>
        </w:rPr>
        <w:t>E. 4</w:t>
      </w:r>
    </w:p>
    <w:p>
      <w:r>
        <w:t>Die Kosten dieses Verfahrens, bestehend aus: - einer Gerichtsgebühr von Fr. 940.00</w:t>
      </w:r>
    </w:p>
    <w:p>
      <w:r>
        <w:t>Seite 3 — 13 - einer Schreibgebühr von Fr. 402.00 - Barauslagen von Fr. 58.00 total somit Fr. 1'400.00 gehen je zur Hälfte zulasten der Parteien und sind mittels beiliegenden Einzahlungsscheines innerhalb von 30 Tagen dem Bezirksgericht Imboden zu überweisen. Die auf Y. anfallenden Gerichtskosten werden dem Kanton Graubünden in Rechnung gestellt, zu dessen Lasten die unentgeltliche Rechtspflege für Y. gewährt wurde. Vorbehalten bleibt der Rückforderungsanspruch des Gemeinwesens. Die ausseramtlichen Kosten werden wettgeschlagen.</w:t>
      </w:r>
    </w:p>
    <w:p>
      <w:r>
        <w:rPr>
          <w:b/>
        </w:rPr>
        <w:t>E. 5</w:t>
      </w:r>
    </w:p>
    <w:p>
      <w:r>
        <w:t>Der Rechtsvertreter der Gesuchstellerin wird aufgefordert, innert 20 Tagen seit Mitteilung dieser Verfügung im Doppel eine detaillierte und tarifgemässe Honorarnote einzureichen. Bei Nichteinhaltung dieser Frist wird die Entschädigung nach pflichtgemässem Ermessen festgesetzt.</w:t>
      </w:r>
    </w:p>
    <w:p>
      <w:r>
        <w:rPr>
          <w:b/>
        </w:rPr>
        <w:t>E. 6</w:t>
      </w:r>
    </w:p>
    <w:p>
      <w:r>
        <w:t>(Rechtmittelbelehrung).</w:t>
      </w:r>
    </w:p>
    <w:p>
      <w:r>
        <w:rPr>
          <w:b/>
        </w:rPr>
        <w:t>E. 7</w:t>
      </w:r>
    </w:p>
    <w:p>
      <w:r>
        <w:t>Gemäss Art. 122 Abs. 1 ZPO sind die Kosten des Gerichtsverfahrens in der Regel von der unterliegenden Partei zu tragen. Hat keine Partei vollständig obsiegt, können die Kosten verhältnismässig verteilt werden. Sie werden dann den Parteien nach dem Masse ihres Unterliegens überbunden (Vogel/Spühler, Grundriss des Zivilprozessrechts, 7. Auflage, Bern 2001, § 50 N. 24). Darüber hinaus hat die unterliegende Partei der obsiegenden alle ihre durch den</w:t>
      </w:r>
    </w:p>
    <w:p>
      <w:r>
        <w:t>Seite 10 — 13 Rechtsstreit verursachten, notwendigen Kosten zu ersetzen. Fällt das Urteil nicht ausschliesslich zu Gunsten einer Partei aus, können die aussergerichtlichen Kosten nach den gleichen Grundsätzen wie die gerichtlichen verteilt werden (Art. 122 Abs. 2 ZPO). Wie bereits der Gesetzeswortlaut erkennen lässt, handelt es sich bei Art. 122 ZPO nicht um eine starre Vorschrift, sie lässt vielmehr Ausnahmen zu. Grundsätzlich liegt es im richterlichen Ermessen, ob und in welchem Umfang vom üblicherweise Geltenden abgewichen wird. Doch darf dies nicht willkürlich geschehen; der Entscheid muss sich vielmehr sachlich vertreten lassen (vgl. PKG 1988 Nr. 14 S. 72). a) In Bezug auf die vorinstanzliche Kostenverteilung macht der Rekurrent geltend, seine Ehefrau habe trotz seiner äusserst bescheidenen Einkommens- und Vermögensverhältnisse einen monatlichen Unterhalt von Fr. 2'000.-- beantragt. Daher seien ihr auch die Verfahrenskosten vollumfänglich aufzuerlegen. In diesem Zusammenhang gilt es jedoch zu berücksichtigen, dass es im vorinstanzlichen Verfahren nicht einzig um die Unterhaltsfrage ging. So schlossen die Parteien erst anlässlich der Hauptverhandlung vor dem Bezirksgerichtspräsidenten Imboden eine Trennungsvereinbarung über den Zeitpunkt der Trennung, die Zuteilung der ehelichen Wohnung sowie die Anordnung der Gütertrennung. Aus diesem Grund rechtfertigt sich eine vollumfängliche Überbindung der Kosten auf Y. nicht. Unter Berücksichtigung des Ergebnisses des vorliegenden Rekursverfahrens erscheint es jedoch angemessen, ihr die vorinstanzlichen Verfahrenskosten von Fr. 1'400.-- zu 3/4 (Fr. 1’050.--) aufzuerlegen, während X. für 1/4 (Fr. 350.--) aufzukommen hat. Bei der Frage der aussergerichtlichen Entschädigung ist von denselben Überlegungen auszugehen. Y. ist daher zu verpflichten, X. für das Verfahren vor der Vorinstanz ausseramtlich reduziert zu entschädigen. Ausgehend von der vom Rechtsvertreter von Y. eingereichten Honorarnote in Höhe von Fr. 1'542.60 (eine Honorarnote des Vertreters des Rekurrenten liegt nicht vor) und unter Berücksichtigung eines Stundenansatzes von Fr. 240.-- (vgl. act. IV/2), erscheint eine ausseramtliche Entschädigung von Fr. 918.35 einschliesslich Mehrwertsteuer als angemessen, zumal X. als Gesuchsgegner erfahrungsgemäss keinen grösseren Aufwand als die Gegenpartei gehabt haben dürfte. b) Im Rekursverfahren ist X. mit seinem Begehren um Befreiung von der Unterhaltspflicht durchgedrungen, im Nebenpunkt der Kostenverteilung der Vorinstanz jedoch teilweise unterlegen. Es rechtfertigt sich deshalb, auch im Rekursverfahren die Kosten von Fr. 800.-- zu 1/4 (Fr. 200.--) X. und zu 3/4 (Fr. 600.--) Y. aufzuerlegen, welche zudem X. aussergerichtlich reduziert zu</w:t>
      </w:r>
    </w:p>
    <w:p>
      <w:r>
        <w:t>Seite 11 — 13 entschädigen hat. Dabei erscheint eine ausseramtliche Entschädigung von Fr. 600.-- einschliesslich Mehrwertsteuer als dem zeitlichen Aufwand und der Schwierigkeit der Sache angemessen. c) Y. wurde sowohl für das vorinstanzliche Verfahren wie auch für das Rekursverfahren (ERZ 10 28) die Bewilligung zur unentgeltlichen Rechtspflege erteilt. Die ihr auferlegten amtlichen Kosten sowie die entstandenen Kosten ihrer Rechtsvertretung werden daher dem Kanton Graubünden in Rechnung gestellt. Die Rückforderung der geleisteten Kostenhilfe (Art. 45 Abs. 2 ZPO) bleibt vorbehalten. Der Rechtsvertreter von Y. wird aufgefordert, dem Kantonsgericht von Graubünden innert 10 Tagen seit Mitteilung dieser Verfügung eine detaillierte und tarifgemässe Honorarnote für die Aufwendungen im Rekursverfahren einzureichen. Bei Nichteinhaltung dieser Frist wird die Entschädigung des Rechtsvertreters nach pflichtgemässem Ermessen festgesetzt.</w:t>
      </w:r>
    </w:p>
    <w:p>
      <w:r>
        <w:t>Seite 12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